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B045A5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 июня</w:t>
      </w:r>
      <w:r w:rsidR="00C00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B0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B045A5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А</w:t>
      </w:r>
      <w:r w:rsidR="00117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юрист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B045A5" w:rsidRDefault="00B045A5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9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483"/>
        <w:gridCol w:w="2977"/>
        <w:gridCol w:w="709"/>
        <w:gridCol w:w="992"/>
        <w:gridCol w:w="850"/>
        <w:gridCol w:w="992"/>
      </w:tblGrid>
      <w:tr w:rsidR="00B045A5" w:rsidRPr="00B045A5" w:rsidTr="00B045A5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/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Наименование и адрес заказчика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Тех. спецификация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Плани-руемая</w:t>
            </w:r>
            <w:proofErr w:type="spellEnd"/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 цена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Объем закупа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Сумма</w:t>
            </w:r>
          </w:p>
        </w:tc>
      </w:tr>
      <w:tr w:rsidR="00B045A5" w:rsidRPr="00B045A5" w:rsidTr="00B045A5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г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. Каражал» УЗКО</w:t>
            </w:r>
          </w:p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г. Каражал, ул.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Тоимбекова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Ал-Окси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Дезинфицирующий  однородный прозрачный раствор бесцветного цвета (в состав входят: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пероксид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водорода (ПВ) – от 10,8 до 13,2%,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алкилдиметилбензиламмоний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хлорид – от 3,33 до 4,07 %,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полигексаметиленгуанидин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гидрохлорид – 1,98 до 2,43%).   В состав средства не должны входить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глиоксаль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глутаровый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альдегид, спирты, НУК, кислоты,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триамин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отдушки, красители.  Средство 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 хорошо смешиваться с водой, проявлять бактерицидное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т.ч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туберкулоцидное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действие. Противотуберкулезная активность препарата должна быть подтверждена  проведением испытаний с использованием количественного суспензионного метода и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тест-культуры</w:t>
            </w:r>
            <w:proofErr w:type="spellEnd"/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Mycobacterium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terrae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АТСС 15755 или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Mycobacterium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avium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АТСС 15769, необходимо предоставить   подтверждающие документы, с описанием методики проведения количественного суспензионного метода. Также средство должно обладать 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вирулицидным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фунгицидным</w:t>
            </w:r>
            <w:proofErr w:type="spellEnd"/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спороцидным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действием. Дезинфекция поверхностей с экспозицией 5мин при бактериальном и вирусном  режимах (предоставление подтверждающих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документов-обязательно</w:t>
            </w:r>
            <w:proofErr w:type="spellEnd"/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флакон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7 115,55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35 577,75</w:t>
            </w:r>
          </w:p>
        </w:tc>
      </w:tr>
      <w:tr w:rsidR="00B045A5" w:rsidRPr="00B045A5" w:rsidTr="00B045A5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г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. Каражал» УЗКО</w:t>
            </w:r>
          </w:p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г. Каражал, ул.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Тоимбекова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Дезострим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должно представлять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собои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̆ прозрачную жидкость желтоватого цвета со слабым специфическим запахом (концентрат). Должно содержать в своем составе в качестве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действующих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веществ (ДВ):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N,N-бис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(3-аминопропил)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додециламина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10%±0.5%; смесь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четвертичных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аммониевых соединений (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дидецилдиметиламмонии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̆ хлорид-7%±0,3%,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алкилдиметилбензиламмонии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̆ хлорид – 5%±0,2%) – 12%±0,5%,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полигексаметиленгуанидин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гидрохлорида -  3,0%±0,2%, а также функциональные, моющие, дезодорирующие компоненты,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рН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11±1,0.    В состав средства не должны входить 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глиоксаль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глутаровый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альдегид,  перекись водорода, кислоты,  отдушки, красители, спирты, энзимы. Срок годности рабочих растворов  не менее 21 суток,  активность растворов   должна  быть подтверждена  результатами лабораторных исследований   с использованием количественного  суспензионного метода.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Необходимо предоставить   подтверждающие документы, с описанием методики проведения количественного суспензионного метода.  Потребительские свойства средства после размораживания и перемешивания встряхиванием должны сохраняться. Средство должно обладать бактерицидным, в том числе в отношении возбудителей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особо-опасных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инфекций (чумы, холеры, туляремии, сибирской язвы), а также возбудителей внутрибольничных инфекций, 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включая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метициллен-резистентный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стафилококк,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ванкомицин-резистентный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энтерококк, синегнойную палочку,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туберкулоцидным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на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Mycobacterium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terrae-наличие подтверждающего документа, обязательно),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вирулицидным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том числе вирусов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энтеральных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парентеральных гепатитов (в т.ч. гепатита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и С), ВИЧ, полиомиелита, аденовирусов,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энтеровирусов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ротавирусов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вирусов «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атипичной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пневмонии» (SARS), «птичьего» гриппа H5N1, «свиного» гриппа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/H1N1, гриппа человека, герпеса и др.),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фунгицидным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отношении грибов родов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Трихофитон, плесневых грибов),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спороцидным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действием. 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Назначение: для профилактической, очаговой (текущей и заключительной) дезинфекции поверхностей в помещениях, жесткой мебели, наружной поверхности приборов, аппаратов и т.д., предметов ухода за больными, санитарно-технического оборудования, посуды (в т.ч. лабораторной), белья,  уборочного инвентаря в медицинских организациях любого профиля, проведения генеральных уборок в медицинских организациях любого профиля, дезинфекции кувезов, дезинфекции и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очистки, в том числе совмещённых и не совмещенных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одном процессе, изделий медицинского назначения из различных материалов (хирургические, гинекологические, стоматологические, в том числе вращающиеся инструменты, комплектующие детали, отдельные узлы и блоки аппаратов ингаляционного наркоза и искусственной вентиляции легких), жестких и гибких эндоскопов и инструментов к ним ручным и механизированным способами (в т.ч. с использованием ультразвука), дезинфекции медицинских отходов – изделий медицинского назначения однократного применения, не подлежащих утилизации,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также пищевых и прочих (жидкие отходы, смывные воды, включая эндоскопические смывные воды) отходов, выделений больного (мокрота, моча, фекалии и прочие), посуды из-под выделений больного, вакцин (в том числе вакцины против сибирской язвы), включая БЦЖ, профилактической дезинфекции систем вентиляции и кондиционирования воздуха (бытовые кондиционеры,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сплит-системы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мультизональные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сплит-системы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крышные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кондиционеры, вентиляционные фильтры, воздуховоды и др.), дезинфекции высокого уровня (ДВУ) эндоскопов и изделий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медицинского назначения (концентрация рабочего раствора 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(по препарату) 3-4%, время выдержки 20-10 минут). Средство  должно обладать моющими свойствами, не портить обрабатываемые объекты, не фиксировать органические загрязнения, не вызывать коррозии металлов. На этапе замачивания ИМН в рабочем растворе должна обеспечиваться их дезинфекция в отношении возбудителей инфекций бактериальной (включая туберкулез), вирусной (включая гепатиты, ВИЧ-инфекцию, полиомиелит и грипп, в т.ч. штаммов H5N1 и AH1N1) и грибковой (кандидозы и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дерматофитии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этиологии.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Свидетельство о государственной регистрации, сертификат СТ 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KZ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протокол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испытаний,сертификат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соответствия, методические указания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канистра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33 202,10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332 021,00</w:t>
            </w:r>
          </w:p>
        </w:tc>
      </w:tr>
      <w:tr w:rsidR="00B045A5" w:rsidRPr="00B045A5" w:rsidTr="00B045A5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г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. Каражал» УЗКО</w:t>
            </w:r>
          </w:p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г. Каражал, ул.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Тоимбекова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Алмадез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должно представлять собой прозрачную жидкость  (концентрат)  с содержанием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кокобензилдиметиламмоний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7,5%±0,2% и 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дидецилдиметиламмоний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7,5%±0,3%  хлориды,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N,N-бис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-(3-аминопропил)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додециламин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- 12%±0,5%.  В состав средства не должны входить 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глиоксаль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глутаровый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альдегид,  перекись водорода, кислоты, 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гуанидин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отдушки, красители, спирты, энзимы.  Срок годности рабочих растворов  не менее 21 суток,  активность растворов   должна  быть подтверждена  результатами лабораторных исследований   с использованием количественного  суспензионного метода. Необходимо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предоставить   подтверждающие документы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описанием методики проведения количественного суспензионного метода.   Средство должно обладать бактерицидным, в том числе в отношении возбудителей особо- опасных инфекций (чумы, холеры, туляремии), а также возбудителей внутрибольничных инфекций, включая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метициллен-резистентный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стафилококк,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ванкомицин-резистентный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энтерококк, синегнойную палочку,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туберкулоцидным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 на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Mycobacterium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terrae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(наличие подтверждающего документа, обязательно) 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вирулицидным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том числе вирусов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энтеральных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парентеральных гепатитов (в т.ч. гепатита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и С), ВИЧ, полиомиелита, аденовирусов,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энтеровирусов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ротавирусов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вирусов «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атипичной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пневмонии» (SARS), «птичьего» гриппа H5N1, «свиного» гриппа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/H1N1, гриппа человека, герпеса и др.),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фунгицидным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отношении грибов родов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Трихофитон, плесневых грибов) действием.   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Средство  должно обладать моющими свойствами, не портит обрабатываемые объекты, не фиксировать органические загрязнения, не вызывать коррозии металлов.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Назначение: для профилактической, очаговой (текущей и заключительной) дезинфекции поверхностей в помещениях, жесткой мебели, наружной поверхности приборов, аппаратов и т.д., предметов ухода за больными, санитарно-технического оборудования, посуды (в т.ч. лабораторной), белья,  уборочного инвентаря в медицинских организациях любого профиля, проведения генеральных уборок в медицинских организациях любого профиля, дезинфекции кувезов, дезинфекции и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очистки, в том числе совмещённых и не совмещенных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одном процессе, изделий медицинского назначения из различных материалов (хирургические, гинекологические, стоматологические, в том числе вращающиеся инструменты, комплектующие детали, отдельные узлы и блоки аппаратов ингаляционного наркоза и искусственной вентиляции легких), жестких и гибких эндоскопов и инструментов к ним ручным и механизированным способами (в т.ч. с использованием ультразвука), дезинфекции медицинских отходов – изделий медицинского назначения однократного применения, не подлежащих утилизации,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также пищевых и прочих (жидкие отходы, смывные воды, включая эндоскопические смывные воды) отходов, выделений больного (мокрота, моча, фекалии и прочие), посуды из-под выделений больного, вакцин (в том числе вакцины против сибирской язвы), включая БЦЖ.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этапе ультразвуковой обработки ИМН (концентрация рабочего раствора (по препарату - 1,5%, время обработки - 15 мин) в рабочем растворе должна обеспечиваться  их дезинфекция в отношении возбудителей инфекций бактериальной (включая туберкулез),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особо-опасных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(туляремия,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легионеллез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чума и холера), вирусной (включая гепатиты, ВИЧ-инфекцию, полиомиелит) и грибковой (кандидозы и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дерматофитии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этиологии.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этапе замачивания ИМН в рабочем растворе должна обеспечиваться  их дезинфекция в отношении возбудителей инфекций бактериальной, вирусной  и грибковой (кандидозы и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дерматофитии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этиологии.</w:t>
            </w: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о государственной регистрации, сертификат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KZ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протокол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испытаний,сертификат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соответствия, методические 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указания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флакон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8 014,30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160 286,00</w:t>
            </w:r>
          </w:p>
        </w:tc>
      </w:tr>
      <w:tr w:rsidR="00B045A5" w:rsidRPr="00B045A5" w:rsidTr="00B045A5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г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. Каражал» УЗКО</w:t>
            </w:r>
          </w:p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г. Каражал, ул.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Тоимбекова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Акма-Хлор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1кг в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представляет собой таблетки белого цвета с различными оттенками, цилиндрической формы с двумя рисками, с характерным запахом хлора массой 3,33 г. В качестве действующего вещества в состав средства входит натриевая соль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дихлоризоциануровой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кислоты (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дигидрат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– не более 80,5%, а также адипиновая кислота, карбонат натрия и бикарбонат натрия,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рН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– 5,0-7,0. Масса активного хлора (при растворении 1 таблетки в воде) не менее 1,4,0г-не более 1,60 г. Срок годности средства – не менее 5 лет в невскрытой упаковке производителя, рабочих растворов – не менее 5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суток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редство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имеет  НАЦИОНАЛЬНЫЙ СТАНДАРТ РЕСПУБЛИКИ КАЗАХСТАН общие технические условия СТ РК 2827-2016. Средство обладает бактерицидным, в том числе в отношении возбудителей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особо-опасных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инфекций (чумы, холеры, туляремии), а также возбудителей внутрибольничных инфекций, включая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метициллен-резистентный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стафилококк,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ванкомицин-резистентный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энтерококк, синегнойную палочку,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туберкулоцидным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том числе на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Mycobacterium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terrae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вирулицидным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том числе вирусов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энтеральных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парентеральных гепатитов (в т.ч. гепатита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и С), ВИЧ, полиомиелита, аденовирусов,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энтеровирусов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ротавирусов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вирусов «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атипичной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пневмонии» (SARS), «птичьего» гриппа H5N1, «свиного» гриппа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/H1N1, гриппа человека, герпеса и др.),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фунгицидным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отношении грибов родов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Трихофитон, плесневых грибов) действием. Для сочетания процесса дезинфекции и очистки к растворам препарата можно добавлять моющие средства, разрешенные для применения в медицинских учреждениях, при этом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антимикробная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активность не снижается. Водные растворы не портят обрабатываемые поверхности. Обладают отбеливающим эффектом, существенно не изменяют цвет тканей. Свидетельство о государственной регистрации, сертификат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KZ</w:t>
            </w:r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протокол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испытаний,сертификат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соответствия, методические указания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12,59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37 770,00</w:t>
            </w:r>
          </w:p>
        </w:tc>
      </w:tr>
      <w:tr w:rsidR="00B045A5" w:rsidRPr="00B045A5" w:rsidTr="00B045A5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г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. Каражал» УЗКО</w:t>
            </w:r>
          </w:p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г. Каражал, ул. 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Тоимбекова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Алмасептин</w:t>
            </w:r>
            <w:proofErr w:type="spellEnd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pStyle w:val="msonormalmrcssattr"/>
              <w:shd w:val="clear" w:color="auto" w:fill="FFFFFF"/>
              <w:rPr>
                <w:sz w:val="18"/>
                <w:szCs w:val="18"/>
              </w:rPr>
            </w:pPr>
            <w:r w:rsidRPr="00B045A5">
              <w:rPr>
                <w:color w:val="000000"/>
                <w:sz w:val="18"/>
                <w:szCs w:val="18"/>
              </w:rPr>
              <w:t xml:space="preserve">Готовый к применению кожный антисептик в виде прозрачной бесцветной жидкости с запахом этилового спирта. Средство содержит: очищенный этиловый спирт - 70%,  </w:t>
            </w:r>
            <w:proofErr w:type="spellStart"/>
            <w:r w:rsidRPr="00B045A5">
              <w:rPr>
                <w:color w:val="000000"/>
                <w:sz w:val="18"/>
                <w:szCs w:val="18"/>
              </w:rPr>
              <w:t>полигексаметиленгуанидина</w:t>
            </w:r>
            <w:proofErr w:type="spellEnd"/>
            <w:r w:rsidRPr="00B045A5">
              <w:rPr>
                <w:color w:val="000000"/>
                <w:sz w:val="18"/>
                <w:szCs w:val="18"/>
              </w:rPr>
              <w:t xml:space="preserve"> гидрохлорид - 0,1%, </w:t>
            </w:r>
            <w:proofErr w:type="spellStart"/>
            <w:r w:rsidRPr="00B045A5">
              <w:rPr>
                <w:color w:val="000000"/>
                <w:sz w:val="18"/>
                <w:szCs w:val="18"/>
              </w:rPr>
              <w:t>алкилдиметилбензиламмония</w:t>
            </w:r>
            <w:proofErr w:type="spellEnd"/>
            <w:r w:rsidRPr="00B045A5">
              <w:rPr>
                <w:color w:val="000000"/>
                <w:sz w:val="18"/>
                <w:szCs w:val="18"/>
              </w:rPr>
              <w:t xml:space="preserve"> хлорид  0,15%,  а также смягчающие  кожу компоненты и функциональные добавки. </w:t>
            </w:r>
            <w:r w:rsidRPr="00B045A5">
              <w:rPr>
                <w:sz w:val="18"/>
                <w:szCs w:val="18"/>
              </w:rPr>
              <w:t xml:space="preserve">Свидетельство о государственной регистрации, сертификат </w:t>
            </w:r>
            <w:proofErr w:type="gramStart"/>
            <w:r w:rsidRPr="00B045A5">
              <w:rPr>
                <w:sz w:val="18"/>
                <w:szCs w:val="18"/>
              </w:rPr>
              <w:t>СТ</w:t>
            </w:r>
            <w:proofErr w:type="gramEnd"/>
            <w:r w:rsidRPr="00B045A5">
              <w:rPr>
                <w:sz w:val="18"/>
                <w:szCs w:val="18"/>
              </w:rPr>
              <w:t> </w:t>
            </w:r>
            <w:r w:rsidRPr="00B045A5">
              <w:rPr>
                <w:sz w:val="18"/>
                <w:szCs w:val="18"/>
                <w:lang w:val="en-US"/>
              </w:rPr>
              <w:t>KZ</w:t>
            </w:r>
            <w:r w:rsidRPr="00B045A5">
              <w:rPr>
                <w:sz w:val="18"/>
                <w:szCs w:val="18"/>
              </w:rPr>
              <w:t xml:space="preserve">, протокол </w:t>
            </w:r>
            <w:proofErr w:type="spellStart"/>
            <w:r w:rsidRPr="00B045A5">
              <w:rPr>
                <w:sz w:val="18"/>
                <w:szCs w:val="18"/>
              </w:rPr>
              <w:t>испытаний,сертификат</w:t>
            </w:r>
            <w:proofErr w:type="spellEnd"/>
            <w:r w:rsidRPr="00B045A5">
              <w:rPr>
                <w:sz w:val="18"/>
                <w:szCs w:val="18"/>
              </w:rPr>
              <w:t xml:space="preserve"> соответствия, методические указания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17 151,38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171 513,80</w:t>
            </w:r>
          </w:p>
        </w:tc>
      </w:tr>
    </w:tbl>
    <w:p w:rsidR="00B045A5" w:rsidRPr="00A921FB" w:rsidRDefault="00B045A5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CC" w:rsidRPr="00A921FB" w:rsidRDefault="002F0BCC" w:rsidP="00504863">
      <w:pPr>
        <w:shd w:val="clear" w:color="auto" w:fill="FFFFFF"/>
        <w:tabs>
          <w:tab w:val="left" w:pos="5828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на участие в закупе </w:t>
      </w:r>
      <w:proofErr w:type="spellStart"/>
      <w:r w:rsidR="00B0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</w:t>
      </w:r>
      <w:proofErr w:type="spellEnd"/>
      <w:r w:rsidR="00B0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средств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назначения способом </w:t>
      </w:r>
      <w:r w:rsidR="00B0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ценового предложения 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предоставили, следующие потенциальные поставщики:</w:t>
      </w:r>
    </w:p>
    <w:p w:rsidR="002F0BCC" w:rsidRPr="00A921FB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BCC" w:rsidRDefault="002F0BCC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B045A5" w:rsidRDefault="00B045A5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5A5" w:rsidRDefault="00B045A5" w:rsidP="00B045A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1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268"/>
        <w:gridCol w:w="1352"/>
        <w:gridCol w:w="1843"/>
        <w:gridCol w:w="1276"/>
        <w:gridCol w:w="1275"/>
      </w:tblGrid>
      <w:tr w:rsidR="00B045A5" w:rsidRPr="00B045A5" w:rsidTr="00B045A5">
        <w:trPr>
          <w:trHeight w:val="38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/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Ц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цена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Объем закупа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Сумма</w:t>
            </w:r>
          </w:p>
        </w:tc>
      </w:tr>
      <w:tr w:rsidR="00B045A5" w:rsidRPr="00B045A5" w:rsidTr="00B045A5">
        <w:trPr>
          <w:trHeight w:val="25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Ал-Окси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7 115,55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35 577,75</w:t>
            </w:r>
          </w:p>
        </w:tc>
      </w:tr>
      <w:tr w:rsidR="00B045A5" w:rsidRPr="00B045A5" w:rsidTr="00B045A5">
        <w:trPr>
          <w:trHeight w:val="36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Дезострим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33 202,10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332 021,00</w:t>
            </w:r>
          </w:p>
        </w:tc>
      </w:tr>
      <w:tr w:rsidR="00B045A5" w:rsidRPr="00B045A5" w:rsidTr="00B045A5">
        <w:trPr>
          <w:trHeight w:val="32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Алмадез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8 014,30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160 286,00</w:t>
            </w:r>
          </w:p>
        </w:tc>
      </w:tr>
      <w:tr w:rsidR="00B045A5" w:rsidRPr="00B045A5" w:rsidTr="00B045A5">
        <w:trPr>
          <w:trHeight w:val="43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Акма-Хлор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1кг в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12,59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37 770,00</w:t>
            </w:r>
          </w:p>
        </w:tc>
      </w:tr>
      <w:tr w:rsidR="00B045A5" w:rsidRPr="00B045A5" w:rsidTr="00B045A5">
        <w:trPr>
          <w:trHeight w:val="402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5A5" w:rsidRPr="00B045A5" w:rsidRDefault="00B045A5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Алмасептин</w:t>
            </w:r>
            <w:proofErr w:type="spellEnd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ОП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17 151,38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5A5" w:rsidRPr="00B045A5" w:rsidRDefault="00B045A5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171 513,80</w:t>
            </w:r>
          </w:p>
        </w:tc>
      </w:tr>
    </w:tbl>
    <w:p w:rsidR="00B045A5" w:rsidRPr="00A921FB" w:rsidRDefault="00B045A5" w:rsidP="00B045A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BE" w:rsidRPr="00504863" w:rsidRDefault="00AA17BE" w:rsidP="0050486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5048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601A4">
        <w:rPr>
          <w:rFonts w:ascii="Times New Roman" w:hAnsi="Times New Roman" w:cs="Times New Roman"/>
          <w:b/>
          <w:sz w:val="24"/>
          <w:szCs w:val="24"/>
        </w:rPr>
        <w:t>Производственный комплекс «Аврора</w:t>
      </w:r>
      <w:r w:rsidRPr="00504863">
        <w:rPr>
          <w:rFonts w:ascii="Times New Roman" w:hAnsi="Times New Roman" w:cs="Times New Roman"/>
          <w:b/>
          <w:sz w:val="24"/>
          <w:szCs w:val="24"/>
        </w:rPr>
        <w:t>»</w:t>
      </w:r>
    </w:p>
    <w:p w:rsidR="00AA17BE" w:rsidRPr="001601A4" w:rsidRDefault="001601A4" w:rsidP="00223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</w:t>
      </w:r>
      <w:r w:rsidR="00AA17BE"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</w:t>
      </w:r>
      <w:r w:rsidR="00AA17BE"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Нур-Султан</w:t>
      </w:r>
      <w:proofErr w:type="spellEnd"/>
      <w:r w:rsidR="00AA17BE"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Мәскеу, дом 40, 4 этаж, офис 421. Тел: 8/727/313-11-88.</w:t>
      </w:r>
    </w:p>
    <w:p w:rsidR="001601A4" w:rsidRDefault="001601A4" w:rsidP="001601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1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268"/>
        <w:gridCol w:w="1352"/>
        <w:gridCol w:w="1843"/>
        <w:gridCol w:w="1276"/>
        <w:gridCol w:w="1275"/>
      </w:tblGrid>
      <w:tr w:rsidR="001601A4" w:rsidRPr="00B045A5" w:rsidTr="0026637B">
        <w:trPr>
          <w:trHeight w:val="38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/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Ц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цена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Объем закупа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Сумма</w:t>
            </w:r>
          </w:p>
        </w:tc>
      </w:tr>
      <w:tr w:rsidR="001601A4" w:rsidRPr="00B045A5" w:rsidTr="0026637B">
        <w:trPr>
          <w:trHeight w:val="25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Ал-Окси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36 500,00</w:t>
            </w:r>
          </w:p>
        </w:tc>
      </w:tr>
      <w:tr w:rsidR="001601A4" w:rsidRPr="00B045A5" w:rsidTr="0026637B">
        <w:trPr>
          <w:trHeight w:val="36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Дезострим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1601A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4 000,00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340 000</w:t>
            </w: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601A4" w:rsidRPr="00B045A5" w:rsidTr="0026637B">
        <w:trPr>
          <w:trHeight w:val="32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Алмадез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164 000,00</w:t>
            </w:r>
          </w:p>
        </w:tc>
      </w:tr>
      <w:tr w:rsidR="001601A4" w:rsidRPr="00B045A5" w:rsidTr="0026637B">
        <w:trPr>
          <w:trHeight w:val="43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Акма-Хлор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1кг в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1601A4" w:rsidRPr="00B045A5" w:rsidTr="0026637B">
        <w:trPr>
          <w:trHeight w:val="402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1A4" w:rsidRPr="00B045A5" w:rsidRDefault="001601A4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Алмасептин</w:t>
            </w:r>
            <w:proofErr w:type="spellEnd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ОП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B045A5" w:rsidRDefault="001601A4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1A4" w:rsidRPr="002232B8" w:rsidRDefault="001601A4" w:rsidP="002232B8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2B8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</w:tbl>
    <w:p w:rsidR="001601A4" w:rsidRPr="00A921FB" w:rsidRDefault="001601A4" w:rsidP="001601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A4" w:rsidRDefault="001601A4" w:rsidP="001601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01A4" w:rsidRPr="00A921FB" w:rsidRDefault="001601A4" w:rsidP="001601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01A4" w:rsidRPr="002232B8" w:rsidRDefault="002232B8" w:rsidP="002232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601A4" w:rsidRPr="0022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="001601A4" w:rsidRPr="002232B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601A4" w:rsidRPr="002232B8">
        <w:rPr>
          <w:rFonts w:ascii="Times New Roman" w:hAnsi="Times New Roman" w:cs="Times New Roman"/>
          <w:b/>
          <w:sz w:val="24"/>
          <w:szCs w:val="24"/>
        </w:rPr>
        <w:t>МедиДез</w:t>
      </w:r>
      <w:proofErr w:type="spellEnd"/>
      <w:r w:rsidR="001601A4" w:rsidRPr="002232B8">
        <w:rPr>
          <w:rFonts w:ascii="Times New Roman" w:hAnsi="Times New Roman" w:cs="Times New Roman"/>
          <w:b/>
          <w:sz w:val="24"/>
          <w:szCs w:val="24"/>
        </w:rPr>
        <w:t xml:space="preserve"> Юг»</w:t>
      </w:r>
    </w:p>
    <w:p w:rsidR="001601A4" w:rsidRPr="001601A4" w:rsidRDefault="001601A4" w:rsidP="00223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Казахстан,</w:t>
      </w:r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Алмаатинская</w:t>
      </w:r>
      <w:proofErr w:type="spellEnd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область, </w:t>
      </w:r>
      <w:proofErr w:type="spellStart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Жамбылский</w:t>
      </w:r>
      <w:proofErr w:type="spellEnd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Узынагашский</w:t>
      </w:r>
      <w:proofErr w:type="spellEnd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с.о., село </w:t>
      </w:r>
      <w:proofErr w:type="spellStart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Узынагаш</w:t>
      </w:r>
      <w:proofErr w:type="spellEnd"/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улица</w:t>
      </w:r>
      <w:r w:rsidR="00BA248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Саурық Батыр</w:t>
      </w:r>
      <w:r w:rsidR="00BA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A248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здание 213</w:t>
      </w:r>
    </w:p>
    <w:p w:rsidR="001601A4" w:rsidRDefault="001601A4" w:rsidP="001601A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AA17BE" w:rsidRPr="00A921FB" w:rsidRDefault="00AA17BE" w:rsidP="00AA17B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закуп </w:t>
      </w:r>
      <w:proofErr w:type="spellStart"/>
      <w:r w:rsidR="0022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</w:t>
      </w:r>
      <w:proofErr w:type="spellEnd"/>
      <w:r w:rsidR="0022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средств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способом </w:t>
      </w:r>
      <w:r w:rsidR="002232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запроса ценового предложения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 следующих поставщиков: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</w:p>
    <w:p w:rsidR="00C00D3C" w:rsidRPr="00A921FB" w:rsidRDefault="00C00D3C" w:rsidP="00C00D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2232B8" w:rsidRDefault="002232B8" w:rsidP="002232B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2B8" w:rsidRDefault="002232B8" w:rsidP="002232B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1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268"/>
        <w:gridCol w:w="1352"/>
        <w:gridCol w:w="1843"/>
        <w:gridCol w:w="1276"/>
        <w:gridCol w:w="1275"/>
      </w:tblGrid>
      <w:tr w:rsidR="002232B8" w:rsidRPr="00B045A5" w:rsidTr="0026637B">
        <w:trPr>
          <w:trHeight w:val="38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/</w:t>
            </w:r>
            <w:proofErr w:type="spellStart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Ц</w:t>
            </w:r>
            <w:proofErr w:type="gramEnd"/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цена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Объем закупа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Сумма</w:t>
            </w:r>
          </w:p>
        </w:tc>
      </w:tr>
      <w:tr w:rsidR="002232B8" w:rsidRPr="00B045A5" w:rsidTr="0026637B">
        <w:trPr>
          <w:trHeight w:val="25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Ал-Окси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7 115,55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35 577,75</w:t>
            </w:r>
          </w:p>
        </w:tc>
      </w:tr>
      <w:tr w:rsidR="002232B8" w:rsidRPr="00B045A5" w:rsidTr="0026637B">
        <w:trPr>
          <w:trHeight w:val="36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Дезострим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33 202,10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332 021,00</w:t>
            </w:r>
          </w:p>
        </w:tc>
      </w:tr>
      <w:tr w:rsidR="002232B8" w:rsidRPr="00B045A5" w:rsidTr="0026637B">
        <w:trPr>
          <w:trHeight w:val="32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Алмадез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8 014,30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160 286,00</w:t>
            </w:r>
          </w:p>
        </w:tc>
      </w:tr>
      <w:tr w:rsidR="002232B8" w:rsidRPr="00B045A5" w:rsidTr="0026637B">
        <w:trPr>
          <w:trHeight w:val="43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Акма-Хлор</w:t>
            </w:r>
            <w:proofErr w:type="spellEnd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1кг в </w:t>
            </w:r>
            <w:proofErr w:type="spellStart"/>
            <w:proofErr w:type="gramStart"/>
            <w:r w:rsidRPr="00B04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12,59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37 770,00</w:t>
            </w:r>
          </w:p>
        </w:tc>
      </w:tr>
      <w:tr w:rsidR="002232B8" w:rsidRPr="00B045A5" w:rsidTr="0026637B">
        <w:trPr>
          <w:trHeight w:val="402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8" w:rsidRPr="00B045A5" w:rsidRDefault="002232B8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B045A5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Алмасептин</w:t>
            </w:r>
            <w:proofErr w:type="spellEnd"/>
            <w:r w:rsidRPr="00B045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ОП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17 151,38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2B8" w:rsidRPr="00B045A5" w:rsidRDefault="002232B8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A5">
              <w:rPr>
                <w:rFonts w:ascii="Times New Roman" w:hAnsi="Times New Roman" w:cs="Times New Roman"/>
                <w:sz w:val="18"/>
                <w:szCs w:val="18"/>
              </w:rPr>
              <w:t>171 513,80</w:t>
            </w:r>
          </w:p>
        </w:tc>
      </w:tr>
    </w:tbl>
    <w:p w:rsidR="002232B8" w:rsidRPr="00A921FB" w:rsidRDefault="002232B8" w:rsidP="002232B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B8" w:rsidRPr="00504863" w:rsidRDefault="002232B8" w:rsidP="002232B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50486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Производственный комплекс «Аврора</w:t>
      </w:r>
      <w:r w:rsidRPr="00504863">
        <w:rPr>
          <w:rFonts w:ascii="Times New Roman" w:hAnsi="Times New Roman" w:cs="Times New Roman"/>
          <w:b/>
          <w:sz w:val="24"/>
          <w:szCs w:val="24"/>
        </w:rPr>
        <w:t>»</w:t>
      </w:r>
    </w:p>
    <w:p w:rsidR="002232B8" w:rsidRPr="001601A4" w:rsidRDefault="002232B8" w:rsidP="00223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</w:t>
      </w: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</w:t>
      </w: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Нур-Султан</w:t>
      </w:r>
      <w:proofErr w:type="spellEnd"/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Мәскеу, дом 40, 4 этаж, офис 421. Тел: 8/727/313-11-88.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117449" w:rsidRPr="00A921FB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17449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045A5" w:rsidRPr="00A921FB" w:rsidRDefault="00B045A5" w:rsidP="00B045A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А.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юрист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D663ED" w:rsidRPr="00A921FB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  <w:r w:rsidR="00D663ED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73533"/>
    <w:multiLevelType w:val="hybridMultilevel"/>
    <w:tmpl w:val="C1521518"/>
    <w:lvl w:ilvl="0" w:tplc="CCE6480E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A1587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3B6BB2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6"/>
  </w:num>
  <w:num w:numId="7">
    <w:abstractNumId w:val="1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7"/>
  </w:num>
  <w:num w:numId="13">
    <w:abstractNumId w:val="3"/>
  </w:num>
  <w:num w:numId="14">
    <w:abstractNumId w:val="1"/>
  </w:num>
  <w:num w:numId="15">
    <w:abstractNumId w:val="8"/>
  </w:num>
  <w:num w:numId="16">
    <w:abstractNumId w:val="14"/>
  </w:num>
  <w:num w:numId="17">
    <w:abstractNumId w:val="7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601A4"/>
    <w:rsid w:val="001A1B0B"/>
    <w:rsid w:val="001C42DD"/>
    <w:rsid w:val="001D33A3"/>
    <w:rsid w:val="001E513D"/>
    <w:rsid w:val="002232B8"/>
    <w:rsid w:val="0026072A"/>
    <w:rsid w:val="002947B6"/>
    <w:rsid w:val="002C2C58"/>
    <w:rsid w:val="002F0BCC"/>
    <w:rsid w:val="002F5982"/>
    <w:rsid w:val="00332A4C"/>
    <w:rsid w:val="0033760D"/>
    <w:rsid w:val="00352250"/>
    <w:rsid w:val="0038675F"/>
    <w:rsid w:val="003F1373"/>
    <w:rsid w:val="004928EC"/>
    <w:rsid w:val="00504863"/>
    <w:rsid w:val="005F55B1"/>
    <w:rsid w:val="00600BE8"/>
    <w:rsid w:val="006C03A7"/>
    <w:rsid w:val="006E14AA"/>
    <w:rsid w:val="00711F7C"/>
    <w:rsid w:val="007614A4"/>
    <w:rsid w:val="00824372"/>
    <w:rsid w:val="0082512A"/>
    <w:rsid w:val="00830948"/>
    <w:rsid w:val="00895930"/>
    <w:rsid w:val="008B11CA"/>
    <w:rsid w:val="008C4CE6"/>
    <w:rsid w:val="0096158C"/>
    <w:rsid w:val="00992A6A"/>
    <w:rsid w:val="00995B93"/>
    <w:rsid w:val="00A22227"/>
    <w:rsid w:val="00A921FB"/>
    <w:rsid w:val="00AA17BE"/>
    <w:rsid w:val="00AF3EB6"/>
    <w:rsid w:val="00B045A5"/>
    <w:rsid w:val="00B05849"/>
    <w:rsid w:val="00B14D31"/>
    <w:rsid w:val="00B81499"/>
    <w:rsid w:val="00BA2488"/>
    <w:rsid w:val="00BB7F78"/>
    <w:rsid w:val="00C00D3C"/>
    <w:rsid w:val="00C15F5F"/>
    <w:rsid w:val="00C637A9"/>
    <w:rsid w:val="00C65347"/>
    <w:rsid w:val="00CB47C2"/>
    <w:rsid w:val="00CE2136"/>
    <w:rsid w:val="00CE4B75"/>
    <w:rsid w:val="00CF59D6"/>
    <w:rsid w:val="00D663ED"/>
    <w:rsid w:val="00D9415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  <w:style w:type="paragraph" w:customStyle="1" w:styleId="msonormalmrcssattr">
    <w:name w:val="msonormal_mr_css_attr"/>
    <w:basedOn w:val="a"/>
    <w:rsid w:val="00B0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8BE57-D906-4161-BCC1-744315C4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2020-05-25T10:08:00Z</cp:lastPrinted>
  <dcterms:created xsi:type="dcterms:W3CDTF">2019-03-11T06:05:00Z</dcterms:created>
  <dcterms:modified xsi:type="dcterms:W3CDTF">2021-06-07T03:39:00Z</dcterms:modified>
</cp:coreProperties>
</file>