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202F15">
        <w:rPr>
          <w:sz w:val="24"/>
          <w:szCs w:val="24"/>
        </w:rPr>
        <w:t xml:space="preserve">медицинских изделий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>КГП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на ПХВ</w:t>
      </w: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города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52F3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УЗОҰ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№17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разделу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 1,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глава 1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FF4BF5">
        <w:rPr>
          <w:rFonts w:ascii="Times New Roman" w:hAnsi="Times New Roman" w:cs="Times New Roman"/>
          <w:sz w:val="24"/>
          <w:szCs w:val="24"/>
        </w:rPr>
        <w:t xml:space="preserve">азахстан от 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F4BF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F4BF5">
        <w:rPr>
          <w:rFonts w:ascii="Times New Roman" w:hAnsi="Times New Roman" w:cs="Times New Roman"/>
          <w:sz w:val="24"/>
          <w:szCs w:val="24"/>
        </w:rPr>
        <w:t>года №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780EE8" w:rsidRPr="0002566D">
        <w:rPr>
          <w:rFonts w:ascii="Times New Roman" w:hAnsi="Times New Roman" w:cs="Times New Roman"/>
          <w:sz w:val="24"/>
          <w:szCs w:val="24"/>
        </w:rPr>
        <w:t>.</w:t>
      </w:r>
    </w:p>
    <w:p w:rsidR="00FF4BF5" w:rsidRDefault="00780EE8" w:rsidP="00FF4BF5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Область Ұлытау</w:t>
      </w:r>
      <w:r w:rsidRPr="0002566D">
        <w:rPr>
          <w:rFonts w:ascii="Times New Roman" w:hAnsi="Times New Roman" w:cs="Times New Roman"/>
          <w:sz w:val="24"/>
          <w:szCs w:val="24"/>
        </w:rPr>
        <w:t xml:space="preserve">,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г.Каражал,</w:t>
      </w:r>
      <w:r w:rsidRPr="0002566D">
        <w:rPr>
          <w:rFonts w:ascii="Times New Roman" w:hAnsi="Times New Roman" w:cs="Times New Roman"/>
          <w:sz w:val="24"/>
          <w:szCs w:val="24"/>
        </w:rPr>
        <w:t xml:space="preserve"> КГП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 xml:space="preserve"> на ПХВ</w:t>
      </w:r>
      <w:r w:rsidRPr="0002566D">
        <w:rPr>
          <w:rFonts w:ascii="Times New Roman" w:hAnsi="Times New Roman" w:cs="Times New Roman"/>
          <w:sz w:val="24"/>
          <w:szCs w:val="24"/>
        </w:rPr>
        <w:t xml:space="preserve"> «Больница города Каражал»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УЗОҰ</w:t>
      </w:r>
      <w:r w:rsidRPr="0002566D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4D205D" w:rsidRPr="0002566D" w:rsidRDefault="004D205D" w:rsidP="004D205D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930C69">
        <w:rPr>
          <w:rFonts w:ascii="Times New Roman" w:hAnsi="Times New Roman" w:cs="Times New Roman"/>
          <w:sz w:val="24"/>
          <w:szCs w:val="24"/>
        </w:rPr>
        <w:t xml:space="preserve"> 5 рабочих дней до </w:t>
      </w:r>
      <w:r w:rsidR="00930C6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252F31">
        <w:rPr>
          <w:rFonts w:ascii="Times New Roman" w:hAnsi="Times New Roman" w:cs="Times New Roman"/>
          <w:sz w:val="24"/>
          <w:szCs w:val="24"/>
        </w:rPr>
        <w:t>.0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>.2023г до 14:00.</w:t>
      </w:r>
    </w:p>
    <w:p w:rsidR="004D205D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по адресу Каражал, кабинет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присутсвии комиссии </w:t>
      </w:r>
      <w:r w:rsidR="00930C6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.08</w:t>
      </w:r>
      <w:r>
        <w:rPr>
          <w:rFonts w:ascii="Times New Roman" w:hAnsi="Times New Roman" w:cs="Times New Roman"/>
          <w:sz w:val="24"/>
          <w:szCs w:val="24"/>
          <w:lang w:val="kk-KZ"/>
        </w:rPr>
        <w:t>.2023г в 16:00</w:t>
      </w:r>
      <w:r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C0CD7" w:rsidRDefault="00EC0CD7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Кабулов А.К.– и.о. директора; 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Сембекова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Н.Т. – главный бухгалтер;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Тукубаев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Д.Б. – юрист;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4D205D" w:rsidRPr="00845142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proofErr w:type="gramStart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- бухгалтер по </w:t>
      </w: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госзакупкам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>, секретарь комиссии.</w:t>
      </w:r>
    </w:p>
    <w:p w:rsidR="004D205D" w:rsidRPr="00B428C4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752E9" w:rsidRPr="004D205D" w:rsidRDefault="008752E9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P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AD526C" w:rsidRDefault="00DD081E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7714D4" w:rsidRPr="007714D4" w:rsidRDefault="007714D4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C2E37" w:rsidRPr="004E4FFB" w:rsidRDefault="003C2E37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tbl>
      <w:tblPr>
        <w:tblW w:w="10505" w:type="dxa"/>
        <w:tblInd w:w="93" w:type="dxa"/>
        <w:tblLayout w:type="fixed"/>
        <w:tblLook w:val="04A0"/>
      </w:tblPr>
      <w:tblGrid>
        <w:gridCol w:w="542"/>
        <w:gridCol w:w="2167"/>
        <w:gridCol w:w="1275"/>
        <w:gridCol w:w="1276"/>
        <w:gridCol w:w="1134"/>
        <w:gridCol w:w="1418"/>
        <w:gridCol w:w="2693"/>
      </w:tblGrid>
      <w:tr w:rsidR="00252F31" w:rsidRPr="00252F31" w:rsidTr="00252F31">
        <w:trPr>
          <w:trHeight w:val="3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bookmarkStart w:id="16" w:name="_GoBack"/>
            <w:bookmarkEnd w:id="16"/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Ед</w:t>
            </w:r>
            <w:proofErr w:type="spellEnd"/>
            <w:proofErr w:type="gramEnd"/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 xml:space="preserve">Тех описание </w:t>
            </w:r>
          </w:p>
        </w:tc>
      </w:tr>
      <w:tr w:rsidR="00252F31" w:rsidRPr="00252F31" w:rsidTr="00252F31">
        <w:trPr>
          <w:trHeight w:val="154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DILUID III DIFF \ ISOFLUX (Разбавитель 20 литров)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канистра (20л.)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37 084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   445 008,00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tabs>
                <w:tab w:val="left" w:pos="2160"/>
              </w:tabs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proofErr w:type="spellStart"/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C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пециально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профильтрованная жидкость для разбавления крови, предназначенная для использования при подсчете и определении размеров клеток.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Предназначен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для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in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vitro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исследования образцов, полученных из человеческого организма.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Реагент предназначен для автоматического гематологического анализатора закрытой системы MS4S, способных контролировать трехкомпонентные дифференцированные лейкоциты, на основании принципа импеданса диафрагмы и электронной настройки для работы при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осмоляльности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330 ± 20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мОсм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/кг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  <w:t>Реагент используется для разбавления цельной крови до подсчета и определения размеров RWC (эритроцитов), PLT(тромбоцитов) и WBC (лейкоцитов).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Содержание реагента поддерживает стабильность RWC, PLT и WBC при подсчете. Упаковка 20 литров в кубическом контейнере. Наличие паспорта к использованию данного анализатора обязательно, в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lastRenderedPageBreak/>
              <w:t xml:space="preserve">инструкции от производителя должно быть 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указана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что данный реагент можно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исспользовать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на данном анализаторе. </w:t>
            </w:r>
          </w:p>
        </w:tc>
      </w:tr>
      <w:tr w:rsidR="00252F31" w:rsidRPr="00252F31" w:rsidTr="00252F31">
        <w:trPr>
          <w:trHeight w:val="495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TRANSFLUX(Моющее средство 5 литров)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канистра (5л.)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25 823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   258 230,00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Чистящее средство, подходящее только для автоматических анализаторов клеток крови MS4S закрытого типа. Этот реагент позволяет производить очистку/полоскание прибора. Канистра 5 литров. Состав элементов:  Протеолитический фермент (&lt;1 %) Неионогенный детергент (&lt;1 %) Денатурированный спирт (&lt; 3 %)  Краситель · Консервант. Должен быть паспорт безопасности для работы на приборе MS4S и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интсрукция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в которой 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указана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что данный реагент подходит к анализатору MS4S. Срок годности закрытого флакона 3 года с даты изготовления. Срок годности открытого флакона 120 дней.</w:t>
            </w:r>
          </w:p>
        </w:tc>
      </w:tr>
      <w:tr w:rsidR="00252F31" w:rsidRPr="00252F31" w:rsidTr="00252F31">
        <w:trPr>
          <w:trHeight w:val="81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ACTI-DIFF(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Лизирующий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реагент 1,2 литр)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флакон (1,2л.)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80 925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   971 100,00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Лизирующее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средство, 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подходящий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только для автоматических анализаторов клеток крови MS4S закрытого типа. Этот реагент позволяет разрушать (гемолиз) эритроциты крови, стабилизировать гемоглобин и зародышевые лейкоциты с целью их дифференцировки на Лимфоциты, Моноциты и Гранулоциты. Реагент является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лизирующим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средством, предназначенным для подсчета лейкоцитов, гемоглобина и 3- (3 вида) или даже 5- (5 видов) лейкоцитов, связанных с ЕОДИФФ. Измерение основано на принципе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импедансометрии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. Фасовка 1,2 литр во флаконе, идет совместно с картой администратора для работы.  Срок годности закрытого флакона 3 года с даты изготовления. Срок годности открытого флакона 120 дней.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  <w:t xml:space="preserve">Состав состоит из следующих элементов: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  <w:t xml:space="preserve">• Четвертичный аммоний (&lt;3%)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  <w:t xml:space="preserve">• цианид калия (&lt;0,5%)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  <w:t xml:space="preserve">•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Консервантр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  <w:t xml:space="preserve">Должна быть инструкция от 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производителя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что данный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реганет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подходит к анализатору MS4S. </w:t>
            </w:r>
          </w:p>
        </w:tc>
      </w:tr>
      <w:tr w:rsidR="00252F31" w:rsidRPr="00252F31" w:rsidTr="00252F31">
        <w:trPr>
          <w:trHeight w:val="69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EO-DIFF(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Лизирующий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реагент для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Eosino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. 5 литров)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канистра (5л.)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71 097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   853 164,00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лизирующее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средство, подходящее только для автоматических счетчиков-анализаторов клеток крови MS4S закрытого типа. Этот реагент позволяет разрушать все клетки крови, за исключением эозинофилов, лейкоцитов, гранулоцитов.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br/>
              <w:t xml:space="preserve">Фасовка: 5 литров во флаконе. ЕОДИФФ® - это диагностический прибор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in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vitro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, предназначенный для использования медицинскими работниками и только в сочетании с кондуктометрическими гематологическими приборами MS4S закрытого типа. Состав: фосфатный буфер (&lt;1%) \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Неионное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моющее средство (&lt;5%) \ Консервант. Должен быть паспорт безопасности для работы на приборе MS4S, а также инструкция от 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производителя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что данный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регаент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подходит к анализатору MS4S. Срок годности закрытого флакона 3 года с даты изготовления. Срок годности открытого флакона 120 дней.</w:t>
            </w:r>
          </w:p>
        </w:tc>
      </w:tr>
      <w:tr w:rsidR="00252F31" w:rsidRPr="00252F31" w:rsidTr="00252F31">
        <w:trPr>
          <w:trHeight w:val="56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ПРОМЫВК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А(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Концентрат для 10 литров)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флакон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29 288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   292 880,00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ополаскивающее средство, подходящее только для автоматических анализаторов клеток крови MS4S. Фасовка: 2 литра во флаконе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.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"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т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о изделие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in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vitro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диагностики, предназначенное для использования медицинскими работниками и только в комбинации с кондуктометрическими гематологическими приборами MS4S. Состав: Моющее средство (&lt;0,6%) \ консервант (&lt;1%).  Срок годности закрытого флакона 3 года с даты изготовления. Срок годности открытого флакона 120 дней. Наличие паспорта к использованию данного анализатора обязательно, в инструкции от производителя должно быть 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указана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что данный реагент можно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исспользовать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на данном анализаторе. </w:t>
            </w:r>
          </w:p>
        </w:tc>
      </w:tr>
      <w:tr w:rsidR="00252F31" w:rsidRPr="00252F31" w:rsidTr="00252F31">
        <w:trPr>
          <w:trHeight w:val="36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Контрольная кровь CBC-3D (3 уровня) 3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56 141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1 347 384,00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Контрольная кровь R&amp;D CBC-3D состоит из стабилизированных эритроцитов, частиц латекса, заменяющих лейкоциты, тромбоцитов животных и пр.  Стабильность закрытого флакона 105 дней, открытого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фланона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14 дней. Наличие паспорта к использованию данного анализатора обязательно, в инструкции от производителя должно быть 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указана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что данный реагент можно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исспользовать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на </w:t>
            </w: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lastRenderedPageBreak/>
              <w:t xml:space="preserve">данном анализаторе. Фасовка 3 флакона </w:t>
            </w:r>
          </w:p>
        </w:tc>
      </w:tr>
      <w:tr w:rsidR="00252F31" w:rsidRPr="00252F31" w:rsidTr="00252F31">
        <w:trPr>
          <w:trHeight w:val="52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Чистящий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расвор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(250 мл)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флакон (250 мл.)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24 956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     74 868,00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МОЮЩИЙ РАСТВОР - это мощное чистящее средство, подходящее только для автоматических анализаторов клеток крови MS4S закрытого типа. Этот реагент позволяет производить очистку/полоскание прибора. Флакон 250 мл, рассчитан для 10 литров промывки. Имеется паспорт безопасности для работы на приборе MS4S. Срок годности закрытого флакона 3 года с даты изготовления. Срок годности открытого флакона 120 дней.</w:t>
            </w:r>
            <w:proofErr w:type="gram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 .</w:t>
            </w:r>
            <w:proofErr w:type="gram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Наличие паспорта к использованию данного анализатора обязательно, в инструкции от производителя должно быть указана что данный реагент можно </w:t>
            </w:r>
            <w:proofErr w:type="spellStart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>исспользовать</w:t>
            </w:r>
            <w:proofErr w:type="spellEnd"/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на данном анализаторе. </w:t>
            </w:r>
          </w:p>
        </w:tc>
      </w:tr>
      <w:tr w:rsidR="00252F31" w:rsidRPr="00252F31" w:rsidTr="00252F31">
        <w:trPr>
          <w:trHeight w:val="33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  <w:r w:rsidRPr="00252F31">
              <w:rPr>
                <w:rFonts w:ascii="Segoe UI" w:eastAsia="Times New Roman" w:hAnsi="Segoe UI" w:cs="Segoe UI"/>
                <w:color w:val="000000"/>
                <w:lang w:eastAsia="ru-RU"/>
              </w:rPr>
              <w:t xml:space="preserve"> 4 242 634,00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31" w:rsidRPr="00252F31" w:rsidRDefault="00252F31" w:rsidP="00252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ru-RU"/>
              </w:rPr>
            </w:pPr>
          </w:p>
        </w:tc>
      </w:tr>
    </w:tbl>
    <w:p w:rsidR="003E2990" w:rsidRDefault="003E2990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90" w:rsidSect="000F3C8F">
      <w:pgSz w:w="11906" w:h="16838"/>
      <w:pgMar w:top="510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35AE7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0F3C8F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97D88"/>
    <w:rsid w:val="001A385F"/>
    <w:rsid w:val="001A7EA8"/>
    <w:rsid w:val="001B2518"/>
    <w:rsid w:val="001B259A"/>
    <w:rsid w:val="001B26D5"/>
    <w:rsid w:val="001B78D7"/>
    <w:rsid w:val="001C3647"/>
    <w:rsid w:val="001C6FA8"/>
    <w:rsid w:val="001C7E12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E7083"/>
    <w:rsid w:val="001F41C5"/>
    <w:rsid w:val="001F4CF5"/>
    <w:rsid w:val="001F641C"/>
    <w:rsid w:val="00202016"/>
    <w:rsid w:val="002029E7"/>
    <w:rsid w:val="00202F15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2F31"/>
    <w:rsid w:val="002565D2"/>
    <w:rsid w:val="00263A9E"/>
    <w:rsid w:val="00267A51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C6CA4"/>
    <w:rsid w:val="004D03E2"/>
    <w:rsid w:val="004D205D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4D4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06EC7"/>
    <w:rsid w:val="00813F06"/>
    <w:rsid w:val="008146AD"/>
    <w:rsid w:val="00817859"/>
    <w:rsid w:val="008278D9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C69"/>
    <w:rsid w:val="00930D30"/>
    <w:rsid w:val="0094043E"/>
    <w:rsid w:val="0094106D"/>
    <w:rsid w:val="009416F8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440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3B22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2469B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0CD7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E9A4-5C12-446F-9F61-79DF5AD9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64</cp:revision>
  <cp:lastPrinted>2019-01-03T06:03:00Z</cp:lastPrinted>
  <dcterms:created xsi:type="dcterms:W3CDTF">2022-07-18T14:40:00Z</dcterms:created>
  <dcterms:modified xsi:type="dcterms:W3CDTF">2023-08-23T10:03:00Z</dcterms:modified>
</cp:coreProperties>
</file>